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t>Internship Topic: Economic migration and forced displacement project mapping</w:t>
      </w:r>
    </w:p>
    <w:p>
      <w:pPr>
        <w:rPr>
          <w:rFonts w:hint="default" w:ascii="Times New Roman" w:hAnsi="Times New Roman" w:cs="Times New Roman"/>
          <w:b w:val="0"/>
          <w:bCs w:val="0"/>
          <w:lang w:val="en-US" w:eastAsia="zh-CN"/>
        </w:rPr>
      </w:pPr>
      <w:r>
        <w:rPr>
          <w:rFonts w:hint="default" w:ascii="Times New Roman" w:hAnsi="Times New Roman" w:cs="Times New Roman"/>
          <w:b/>
          <w:bCs/>
          <w:lang w:val="en-US" w:eastAsia="zh-CN"/>
        </w:rPr>
        <w:t>Summary of Job Description:</w:t>
      </w:r>
      <w:r>
        <w:rPr>
          <w:rFonts w:hint="default" w:ascii="Times New Roman" w:hAnsi="Times New Roman" w:cs="Times New Roman"/>
          <w:b w:val="0"/>
          <w:bCs w:val="0"/>
          <w:lang w:val="en-US" w:eastAsia="zh-CN"/>
        </w:rPr>
        <w:t xml:space="preserve"> The Asian Development Bank (ADB) is actively exploring opportunities to strengthen its</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lang w:val="en-US" w:eastAsia="zh-CN"/>
        </w:rPr>
        <w:t>support to economic migrants and forcibly displaced communities in the Asia and Pacific region—recognizing their unique</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lang w:val="en-US" w:eastAsia="zh-CN"/>
        </w:rPr>
        <w:t>challenges and the protracted nature of forced displacement and need for sustainable development solutions. ADB is a</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lang w:val="en-US" w:eastAsia="zh-CN"/>
        </w:rPr>
        <w:t>member of the Multilateral Development Banks’ Economic Migration and Forced Displacement Working Group; and has</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lang w:val="en-US" w:eastAsia="zh-CN"/>
        </w:rPr>
        <w:t>established a similar structure (i.e., EM&amp;FD WG) to discuss this agenda internally. The ADB EM&amp;FD WG was established</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lang w:val="en-US" w:eastAsia="zh-CN"/>
        </w:rPr>
        <w:t>in April 2022.</w:t>
      </w:r>
    </w:p>
    <w:p>
      <w:pP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It seeks to build staff awareness and capacity to support developing member countries in strengthening policies</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lang w:val="en-US" w:eastAsia="zh-CN"/>
        </w:rPr>
        <w:t>and services addressing the needs of these communities. In a first phase, the EM&amp;FD WG was chaired by the Chief, Regional</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lang w:val="en-US" w:eastAsia="zh-CN"/>
        </w:rPr>
        <w:t>Cooperation and Integration Thematic Group (April ─ September 2022), focusing on the economic migration agenda; followed</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lang w:val="en-US" w:eastAsia="zh-CN"/>
        </w:rPr>
        <w:t>by the Chief, Fragile and Conflict-Affected Situations (FCAS) who will chair the EM&amp;FD WG from October 2022 ─ March</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lang w:val="en-US" w:eastAsia="zh-CN"/>
        </w:rPr>
        <w:t>2023, focusing on issues of forced displacement. From April 2023 onwards, the Chief, Social Development Thematic Group</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lang w:val="en-US" w:eastAsia="zh-CN"/>
        </w:rPr>
        <w:t>will chair the WG, looking at social protection solutions.</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lang w:val="en-US" w:eastAsia="zh-CN"/>
        </w:rPr>
        <w:t>ADB currently does not tag projects that support migrant and forcibly displaced communities in the region. This has led to</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lang w:val="en-US" w:eastAsia="zh-CN"/>
        </w:rPr>
        <w:t>dispersed institutional knowledge on ADB’s contributions and support to developing member countries. The intern will</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lang w:val="en-US" w:eastAsia="zh-CN"/>
        </w:rPr>
        <w:t>aggregate this knowledge through a comprehensive mapping exercise. It will build on preliminary efforts to develop a list of</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lang w:val="en-US" w:eastAsia="zh-CN"/>
        </w:rPr>
        <w:t>existing projects through extensive research and consultation with relevant ADB staff. She/He will also develop related</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lang w:val="en-US" w:eastAsia="zh-CN"/>
        </w:rPr>
        <w:t>materials that can be more widely shared through ADB community sites and other channels. The intern will work closely with</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lang w:val="en-US" w:eastAsia="zh-CN"/>
        </w:rPr>
        <w:t>the assigned staff in the FCAS team to ensure that these outputs align with business needs.</w:t>
      </w:r>
    </w:p>
    <w:p>
      <w:pP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Below are some initial reference materials:</w:t>
      </w:r>
    </w:p>
    <w:p>
      <w:pP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 FCAS and SIDS in ADB: https://www.adb.org/what-we-do/themes/fcas-sids/main</w:t>
      </w:r>
    </w:p>
    <w:p>
      <w:pP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 xml:space="preserve">- FCAS and SIDS Approach: </w:t>
      </w:r>
    </w:p>
    <w:p>
      <w:pP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https://www.adb.org/documents/fragile-conflict-affected-sids-approach</w:t>
      </w:r>
    </w:p>
    <w:p>
      <w:pP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 Pacific Approach, 2021–2025: https://www.adb.org/documents/pacific-approach-2021-2025</w:t>
      </w:r>
    </w:p>
    <w:p>
      <w:pP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- 2021 FCAS Annual Report: https://www.adb.org/multimedia/fcas-report-2021/en/</w:t>
      </w:r>
    </w:p>
    <w:p>
      <w:pP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 What is ADB? https://youtu.be/uJmxEN5fMnA</w:t>
      </w:r>
    </w:p>
    <w:p>
      <w:pP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 UNHCR - The Global Compact on Refugees</w:t>
      </w:r>
    </w:p>
    <w:p>
      <w:pP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 UNHCR - Comprehensive Refugee Response Framework</w:t>
      </w:r>
    </w:p>
    <w:p>
      <w:pP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 xml:space="preserve"> PERIOD OF ASSIGNMENT: 3 months</w:t>
      </w:r>
    </w:p>
    <w:p>
      <w:pP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 LOCATION: Manila or hybrid.</w:t>
      </w:r>
    </w:p>
    <w:p>
      <w:pP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 EXPECTED OUTCOMES:</w:t>
      </w:r>
    </w:p>
    <w:p>
      <w:pP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Annotated list of ADB’s historical and current project engagements supporting</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lang w:val="en-US" w:eastAsia="zh-CN"/>
        </w:rPr>
        <w:t>economic migrants and forcibly displaced communities in the Asia and Pacific region.</w:t>
      </w:r>
    </w:p>
    <w:p>
      <w:pP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This work will be achieved through extensive consultation with the ADB project</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lang w:val="en-US" w:eastAsia="zh-CN"/>
        </w:rPr>
        <w:t>teams concerned and other internal stakeholders. The mapping exercise will include</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lang w:val="en-US" w:eastAsia="zh-CN"/>
        </w:rPr>
        <w:t>a pre-agreed list of requirements for the preparation of the annotated list and related</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lang w:val="en-US" w:eastAsia="zh-CN"/>
        </w:rPr>
        <w:t>project description material. Some of these outputs may need to be adjusted for</w:t>
      </w:r>
      <w:r>
        <w:rPr>
          <w:rFonts w:hint="eastAsia" w:ascii="Times New Roman" w:hAnsi="Times New Roman" w:cs="Times New Roman"/>
          <w:b w:val="0"/>
          <w:bCs w:val="0"/>
          <w:lang w:val="en-US" w:eastAsia="zh-CN"/>
        </w:rPr>
        <w:t xml:space="preserve"> </w:t>
      </w:r>
      <w:r>
        <w:rPr>
          <w:rFonts w:hint="default" w:ascii="Times New Roman" w:hAnsi="Times New Roman" w:cs="Times New Roman"/>
          <w:b w:val="0"/>
          <w:bCs w:val="0"/>
          <w:lang w:val="en-US" w:eastAsia="zh-CN"/>
        </w:rPr>
        <w:t>publication on ADB community sites or other outreach channels and materials.</w:t>
      </w:r>
    </w:p>
    <w:p>
      <w:pP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 xml:space="preserve">Presentation of findings to the FCAS team, EM&amp;FD WG, and other internal stakeholders as relevant. </w:t>
      </w:r>
    </w:p>
    <w:p>
      <w:pPr>
        <w:rPr>
          <w:rFonts w:hint="default" w:ascii="Times New Roman" w:hAnsi="Times New Roman" w:cs="Times New Roman"/>
          <w:b w:val="0"/>
          <w:bCs w:val="0"/>
          <w:lang w:val="en-US" w:eastAsia="zh-CN"/>
        </w:rPr>
      </w:pP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Final report incorporating ADB staff comments.</w:t>
      </w:r>
    </w:p>
    <w:p>
      <w:pP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EDUCATION REQUIREMENTS (specify any area of academic specialization):</w:t>
      </w:r>
    </w:p>
    <w:p>
      <w:pP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Undergraduate degree in social sciences, public administration, or other relevant subject. Graduate level coursework on migration,fragility and/or resilience preferred.</w:t>
      </w:r>
    </w:p>
    <w:p>
      <w:pP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 xml:space="preserve"> RELEVANT EXPERIENCE AND OTHER REQUIREMENTS:</w:t>
      </w:r>
    </w:p>
    <w:p>
      <w:pP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 xml:space="preserve">· </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Understanding of the development issues around working in fragile contexts.</w:t>
      </w:r>
    </w:p>
    <w:p>
      <w:pP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 xml:space="preserve">· </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Familiarity with online communities and resources on FCAS.</w:t>
      </w:r>
    </w:p>
    <w:p>
      <w:pPr>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 xml:space="preserve">· </w:t>
      </w:r>
      <w:r>
        <w:rPr>
          <w:rFonts w:hint="eastAsia" w:ascii="Times New Roman" w:hAnsi="Times New Roman" w:cs="Times New Roman"/>
          <w:b w:val="0"/>
          <w:bCs w:val="0"/>
          <w:lang w:val="en-US" w:eastAsia="zh-CN"/>
        </w:rPr>
        <w:t>-</w:t>
      </w:r>
      <w:r>
        <w:rPr>
          <w:rFonts w:hint="default" w:ascii="Times New Roman" w:hAnsi="Times New Roman" w:cs="Times New Roman"/>
          <w:b w:val="0"/>
          <w:bCs w:val="0"/>
          <w:lang w:val="en-US" w:eastAsia="zh-CN"/>
        </w:rPr>
        <w:t>Strong communication and writing skills</w:t>
      </w:r>
    </w:p>
    <w:p>
      <w:pPr>
        <w:rPr>
          <w:rFonts w:hint="default" w:ascii="Times New Roman" w:hAnsi="Times New Roman" w:cs="Times New Roman"/>
          <w:b/>
          <w:bCs/>
          <w:lang w:val="en-US" w:eastAsia="zh-CN"/>
        </w:rPr>
      </w:pPr>
    </w:p>
    <w:p>
      <w:pPr>
        <w:rPr>
          <w:rFonts w:hint="default" w:ascii="Times New Roman" w:hAnsi="Times New Roman" w:cs="Times New Roman"/>
          <w:b/>
          <w:bCs/>
          <w:lang w:val="en-US" w:eastAsia="zh-CN"/>
        </w:rPr>
      </w:pPr>
    </w:p>
    <w:p>
      <w:pPr>
        <w:rPr>
          <w:rFonts w:hint="default" w:ascii="Times New Roman" w:hAnsi="Times New Roman" w:cs="Times New Roman"/>
          <w:b/>
          <w:bCs/>
        </w:rPr>
      </w:pPr>
      <w:r>
        <w:rPr>
          <w:rFonts w:hint="default" w:ascii="Times New Roman" w:hAnsi="Times New Roman" w:cs="Times New Roman"/>
          <w:b/>
          <w:bCs/>
          <w:lang w:val="en-US" w:eastAsia="zh-CN"/>
        </w:rPr>
        <w:t xml:space="preserve">Internship Topic: Tax and informality, taxing the Hard to Tax </w:t>
      </w:r>
    </w:p>
    <w:p>
      <w:pPr>
        <w:rPr>
          <w:rFonts w:hint="default" w:ascii="Times New Roman" w:hAnsi="Times New Roman" w:cs="Times New Roman"/>
          <w:lang w:val="en-US" w:eastAsia="zh-CN"/>
        </w:rPr>
      </w:pPr>
      <w:bookmarkStart w:id="0" w:name="_GoBack"/>
      <w:r>
        <w:rPr>
          <w:rFonts w:hint="default" w:ascii="Times New Roman" w:hAnsi="Times New Roman" w:cs="Times New Roman"/>
          <w:b/>
          <w:bCs/>
          <w:lang w:val="en-US" w:eastAsia="zh-CN"/>
        </w:rPr>
        <w:t>Summary of Job Description:</w:t>
      </w:r>
      <w:bookmarkEnd w:id="0"/>
      <w:r>
        <w:rPr>
          <w:rFonts w:hint="default" w:ascii="Times New Roman" w:hAnsi="Times New Roman" w:cs="Times New Roman"/>
          <w:lang w:val="en-US" w:eastAsia="zh-CN"/>
        </w:rPr>
        <w:t xml:space="preserve"> An intern will conduct a desk review of the extent of informality in Asia Pacific (AP)</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 xml:space="preserve">developing member countries (DMC). One of the major the major reasons for the low Personal Income Tax/GDP ratios and virtually non-existent Social Security Taxes/GDP ratios in the AP region is the prevalence of widespread informality in these economies and Hard-to-Tax (HTT) segments. A desk review of the literature will be a prelude to assessing the size of the problem and go along with work the Asia Pacific Tax Hub (APTH) plans to take up on informality and HTT. This will serve as the basis for a future High Level Regional Tax Conference around the theme of Informality and the HTT in the AP region. The intern will help to frame the sessions and identify speakers and discussants around this theme. This will form the basis for future APTH guidance on the topic, or a more advanced study in the form of a Toolkit/Governance Brief on the subject. </w:t>
      </w:r>
    </w:p>
    <w:p>
      <w:pPr>
        <w:rPr>
          <w:rFonts w:hint="default" w:ascii="Times New Roman" w:hAnsi="Times New Roman" w:cs="Times New Roman"/>
          <w:lang w:val="en-US" w:eastAsia="zh-CN"/>
        </w:rPr>
      </w:pPr>
      <w:r>
        <w:rPr>
          <w:rFonts w:hint="default" w:ascii="Times New Roman" w:hAnsi="Times New Roman" w:cs="Times New Roman"/>
          <w:lang w:val="en-US" w:eastAsia="zh-CN"/>
        </w:rPr>
        <w:t xml:space="preserve"> PERIOD OF ASSIGNMENT: 3 months</w:t>
      </w:r>
    </w:p>
    <w:p>
      <w:pPr>
        <w:rPr>
          <w:rFonts w:hint="default" w:ascii="Times New Roman" w:hAnsi="Times New Roman" w:cs="Times New Roman"/>
          <w:lang w:val="en-US" w:eastAsia="zh-CN"/>
        </w:rPr>
      </w:pPr>
      <w:r>
        <w:rPr>
          <w:rFonts w:hint="default" w:ascii="Times New Roman" w:hAnsi="Times New Roman" w:cs="Times New Roman"/>
          <w:lang w:val="en-US" w:eastAsia="zh-CN"/>
        </w:rPr>
        <w:t xml:space="preserve"> Timing</w:t>
      </w:r>
      <w:r>
        <w:rPr>
          <w:rFonts w:hint="eastAsia" w:ascii="Times New Roman" w:hAnsi="Times New Roman" w:cs="Times New Roman"/>
          <w:lang w:val="en-US" w:eastAsia="zh-CN"/>
        </w:rPr>
        <w:t>：</w:t>
      </w:r>
      <w:r>
        <w:rPr>
          <w:rFonts w:hint="default" w:ascii="Times New Roman" w:hAnsi="Times New Roman" w:cs="Times New Roman"/>
          <w:lang w:val="en-US" w:eastAsia="zh-CN"/>
        </w:rPr>
        <w:t xml:space="preserve"> June 2023</w:t>
      </w:r>
    </w:p>
    <w:p>
      <w:pPr>
        <w:rPr>
          <w:rFonts w:hint="default" w:ascii="Times New Roman" w:hAnsi="Times New Roman" w:cs="Times New Roman"/>
        </w:rPr>
      </w:pPr>
      <w:r>
        <w:rPr>
          <w:rFonts w:hint="default" w:ascii="Times New Roman" w:hAnsi="Times New Roman" w:cs="Times New Roman"/>
          <w:lang w:val="en-US" w:eastAsia="zh-CN"/>
        </w:rPr>
        <w:t xml:space="preserve"> LOCATION: 25% Home country (virtual/desk review) and 75% HQ (this is flexible) </w:t>
      </w:r>
    </w:p>
    <w:p>
      <w:pPr>
        <w:rPr>
          <w:rFonts w:hint="default" w:ascii="Times New Roman" w:hAnsi="Times New Roman" w:cs="Times New Roman"/>
        </w:rPr>
      </w:pPr>
      <w:r>
        <w:rPr>
          <w:rFonts w:hint="default" w:ascii="Times New Roman" w:hAnsi="Times New Roman" w:cs="Times New Roman"/>
          <w:lang w:val="en-US" w:eastAsia="zh-CN"/>
        </w:rPr>
        <w:t xml:space="preserve">EXPECTED OUTCOMES: A literature review examining the literature on taxes and informality and the HTT, as well as (time and design considerations permitting) the behavioral literature around ‘bunching’ and tax ‘notches’ with a specific focus on DMCs, preferably drawing on country examples and data from the AP region to highlight the lessons to be learnt, the size and magnitude of the problem, existing solutions, successes and failures and emerging approaches. A data-based analysis of a few DMC case studies in the AP region to examine the tax potential of this sector. </w:t>
      </w:r>
    </w:p>
    <w:p>
      <w:pPr>
        <w:rPr>
          <w:rFonts w:hint="default" w:ascii="Times New Roman" w:hAnsi="Times New Roman" w:cs="Times New Roman"/>
        </w:rPr>
      </w:pPr>
      <w:r>
        <w:rPr>
          <w:rFonts w:hint="default" w:ascii="Times New Roman" w:hAnsi="Times New Roman" w:cs="Times New Roman"/>
          <w:lang w:val="en-US" w:eastAsia="zh-CN"/>
        </w:rPr>
        <w:t xml:space="preserve"> EDUCATION REQUIREMENTS (specify any area of academic specialization): Graduate level training in economics (or a related field such as public policy with a quantitative focus) with a specialization in public economics/public finance. Knowledge of statistics and econometrics and proficiency in data analysis (especially regression analysis) using Stata, R, MATLAB, SAS, or similar software. Some familiarity with the fields of tax policy, labor markets, firm behavior and economic growth and development will be preferred. </w:t>
      </w:r>
    </w:p>
    <w:p>
      <w:pPr>
        <w:rPr>
          <w:rFonts w:hint="default" w:ascii="Times New Roman" w:hAnsi="Times New Roman" w:cs="Times New Roman"/>
        </w:rPr>
      </w:pPr>
      <w:r>
        <w:rPr>
          <w:rFonts w:hint="default" w:ascii="Times New Roman" w:hAnsi="Times New Roman" w:cs="Times New Roman"/>
          <w:lang w:val="en-US" w:eastAsia="zh-CN"/>
        </w:rPr>
        <w:t xml:space="preserve"> RELEVANT EXPERIENCE AND OTHER REQUIREMENTS: Graduate level classwork in economics required. Proficiency in data analysis using statistical software required. Focus on public finance required in graduate level coursework or related research/work experience required. Work experience or research experience in public finance and econometric modelling is a plus, but not essential.</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NjkxZDE0NmZjMjU2NjE2N2U3MjBjMDQ5YmZiYzUifQ=="/>
    <w:docVar w:name="KSO_WPS_MARK_KEY" w:val="79fe8fa9-ad9a-4ea0-b851-2a42f1cea7a6"/>
  </w:docVars>
  <w:rsids>
    <w:rsidRoot w:val="49666A7D"/>
    <w:rsid w:val="164E081E"/>
    <w:rsid w:val="28497097"/>
    <w:rsid w:val="49666A7D"/>
    <w:rsid w:val="75AF1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2023-02-13T07:36:00Z</dcterms:created>
  <dc:creator>✨徐雅楠✨</dc:creator>
  <cp:lastModifiedBy>✨徐雅楠✨</cp:lastModifiedBy>
  <dcterms:modified xsi:type="dcterms:W3CDTF">2023-02-20T00:47:03Z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51957479F5344EEA825A4D8C335FCFBF</vt:lpwstr>
  </property>
</Properties>
</file>